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по результатам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контрольных мероприятий Министерства промышленности и </w:t>
      </w:r>
      <w:r>
        <w:rPr>
          <w:rFonts w:ascii="Times New Roman" w:hAnsi="Times New Roman" w:cs="Times New Roman"/>
          <w:sz w:val="28"/>
          <w:szCs w:val="28"/>
        </w:rPr>
        <w:t xml:space="preserve">торговли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роприяти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</w:t>
      </w:r>
      <w:r>
        <w:rPr>
          <w:rFonts w:ascii="Times New Roman" w:hAnsi="Times New Roman" w:cs="Times New Roman"/>
          <w:sz w:val="28"/>
          <w:szCs w:val="28"/>
        </w:rPr>
        <w:t xml:space="preserve"> соблюдения получател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на приобретение </w:t>
      </w:r>
      <w:r/>
      <w:r>
        <w:rPr>
          <w:rFonts w:ascii="Times New Roman" w:hAnsi="Times New Roman" w:cs="Times New Roman"/>
          <w:sz w:val="28"/>
          <w:szCs w:val="28"/>
        </w:rPr>
        <w:t xml:space="preserve">основных средств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9" w:hanging="709"/>
        <w:jc w:val="both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Выездная проверк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ООО «Глазов.Электрон»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843"/>
        <w:ind w:left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с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  <w:t xml:space="preserve">г.,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2020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рк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ООО «Глазов.Электрон»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соблюдены условия и порядок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основных средств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, плановые результаты предоставления субсидии достиг</w:t>
      </w:r>
      <w:r>
        <w:rPr>
          <w:rFonts w:ascii="Times New Roman" w:hAnsi="Times New Roman" w:cs="Times New Roman"/>
          <w:sz w:val="28"/>
          <w:szCs w:val="28"/>
        </w:rPr>
        <w:t xml:space="preserve">нуты, нарушений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revision>15</cp:revision>
  <dcterms:created xsi:type="dcterms:W3CDTF">2022-08-23T05:32:00Z</dcterms:created>
  <dcterms:modified xsi:type="dcterms:W3CDTF">2024-09-25T05:48:26Z</dcterms:modified>
</cp:coreProperties>
</file>